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5683" w14:textId="2D78BCA5" w:rsidR="0014080F" w:rsidRDefault="0065171F" w:rsidP="0065171F">
      <w:pPr>
        <w:tabs>
          <w:tab w:val="left" w:pos="-720"/>
        </w:tabs>
        <w:suppressAutoHyphens/>
        <w:spacing w:after="0" w:line="250" w:lineRule="auto"/>
        <w:rPr>
          <w:rFonts w:ascii="Arial" w:eastAsia="Calibri" w:hAnsi="Arial" w:cs="Arial"/>
          <w:b/>
          <w:bCs/>
          <w:spacing w:val="-3"/>
        </w:rPr>
      </w:pPr>
      <w:r>
        <w:rPr>
          <w:rFonts w:ascii="Arial" w:eastAsia="Calibri" w:hAnsi="Arial" w:cs="Arial"/>
          <w:b/>
          <w:bCs/>
          <w:spacing w:val="-3"/>
        </w:rPr>
        <w:t xml:space="preserve">ASHRAE </w:t>
      </w:r>
      <w:r w:rsidR="0014080F">
        <w:rPr>
          <w:rFonts w:ascii="Arial" w:eastAsia="Calibri" w:hAnsi="Arial" w:cs="Arial"/>
          <w:b/>
          <w:bCs/>
          <w:spacing w:val="-3"/>
        </w:rPr>
        <w:t xml:space="preserve">Standard </w:t>
      </w:r>
      <w:r>
        <w:rPr>
          <w:rFonts w:ascii="Arial" w:eastAsia="Calibri" w:hAnsi="Arial" w:cs="Arial"/>
          <w:b/>
          <w:bCs/>
          <w:spacing w:val="-3"/>
        </w:rPr>
        <w:t>90.1MR-</w:t>
      </w:r>
      <w:r w:rsidR="0014080F">
        <w:rPr>
          <w:rFonts w:ascii="Arial" w:eastAsia="Calibri" w:hAnsi="Arial" w:cs="Arial"/>
          <w:b/>
          <w:bCs/>
          <w:spacing w:val="-3"/>
        </w:rPr>
        <w:t>P</w:t>
      </w:r>
    </w:p>
    <w:p w14:paraId="33F946B6" w14:textId="77777777" w:rsidR="0014080F" w:rsidRDefault="0014080F" w:rsidP="0065171F">
      <w:pPr>
        <w:tabs>
          <w:tab w:val="left" w:pos="-720"/>
        </w:tabs>
        <w:suppressAutoHyphens/>
        <w:spacing w:after="0" w:line="250" w:lineRule="auto"/>
        <w:rPr>
          <w:rFonts w:ascii="Arial" w:eastAsia="Calibri" w:hAnsi="Arial" w:cs="Arial"/>
          <w:b/>
          <w:bCs/>
          <w:spacing w:val="-3"/>
        </w:rPr>
      </w:pPr>
    </w:p>
    <w:p w14:paraId="3BF1EF9E" w14:textId="464C499B" w:rsidR="0014080F" w:rsidRPr="0014080F" w:rsidRDefault="0014080F" w:rsidP="0065171F">
      <w:pPr>
        <w:tabs>
          <w:tab w:val="left" w:pos="-720"/>
        </w:tabs>
        <w:suppressAutoHyphens/>
        <w:spacing w:after="0" w:line="250" w:lineRule="auto"/>
        <w:rPr>
          <w:rFonts w:ascii="Arial" w:eastAsia="Calibri" w:hAnsi="Arial" w:cs="Arial"/>
          <w:spacing w:val="-3"/>
        </w:rPr>
      </w:pPr>
      <w:r w:rsidRPr="0014080F">
        <w:rPr>
          <w:rFonts w:ascii="Arial" w:eastAsia="Calibri" w:hAnsi="Arial" w:cs="Arial"/>
          <w:b/>
          <w:bCs/>
          <w:spacing w:val="-3"/>
        </w:rPr>
        <w:t>Title:</w:t>
      </w:r>
      <w:r w:rsidRPr="0014080F">
        <w:rPr>
          <w:rFonts w:ascii="Arial" w:eastAsia="Calibri" w:hAnsi="Arial" w:cs="Arial"/>
          <w:spacing w:val="-3"/>
        </w:rPr>
        <w:t xml:space="preserve"> </w:t>
      </w:r>
      <w:r w:rsidR="0065171F">
        <w:rPr>
          <w:rFonts w:ascii="Arial" w:eastAsia="Calibri" w:hAnsi="Arial" w:cs="Arial"/>
          <w:spacing w:val="-3"/>
        </w:rPr>
        <w:t>Standard for Minimum Energy Requirements for Low-Rise Residential Buildings</w:t>
      </w:r>
    </w:p>
    <w:p w14:paraId="4B8262EE" w14:textId="77777777" w:rsidR="0014080F" w:rsidRPr="0014080F" w:rsidRDefault="0014080F" w:rsidP="0065171F">
      <w:pPr>
        <w:tabs>
          <w:tab w:val="left" w:pos="-720"/>
        </w:tabs>
        <w:suppressAutoHyphens/>
        <w:spacing w:after="0" w:line="250" w:lineRule="auto"/>
        <w:rPr>
          <w:rFonts w:ascii="Arial" w:eastAsia="Calibri" w:hAnsi="Arial" w:cs="Arial"/>
          <w:spacing w:val="-3"/>
        </w:rPr>
      </w:pPr>
    </w:p>
    <w:p w14:paraId="641A18D4" w14:textId="035A3E4E" w:rsidR="0014080F" w:rsidRPr="0065171F" w:rsidRDefault="0014080F" w:rsidP="0065171F">
      <w:pPr>
        <w:pStyle w:val="ListParagraph"/>
        <w:numPr>
          <w:ilvl w:val="0"/>
          <w:numId w:val="2"/>
        </w:numPr>
        <w:tabs>
          <w:tab w:val="left" w:pos="-720"/>
        </w:tabs>
        <w:suppressAutoHyphens/>
        <w:spacing w:after="0" w:line="250" w:lineRule="auto"/>
        <w:ind w:left="360"/>
        <w:contextualSpacing w:val="0"/>
        <w:rPr>
          <w:rFonts w:ascii="Arial" w:eastAsia="Calibri" w:hAnsi="Arial" w:cs="Arial"/>
          <w:spacing w:val="-3"/>
        </w:rPr>
      </w:pPr>
      <w:r w:rsidRPr="0065171F">
        <w:rPr>
          <w:rFonts w:ascii="Arial" w:eastAsia="Calibri" w:hAnsi="Arial" w:cs="Arial"/>
          <w:b/>
          <w:bCs/>
          <w:spacing w:val="-3"/>
        </w:rPr>
        <w:t>Purpose:</w:t>
      </w:r>
      <w:r w:rsidRPr="0065171F">
        <w:rPr>
          <w:rFonts w:ascii="Arial" w:eastAsia="Calibri" w:hAnsi="Arial" w:cs="Arial"/>
          <w:spacing w:val="-3"/>
        </w:rPr>
        <w:t xml:space="preserve"> </w:t>
      </w:r>
      <w:r w:rsidR="0065171F" w:rsidRPr="0065171F">
        <w:rPr>
          <w:rFonts w:ascii="Arial" w:eastAsia="Calibri" w:hAnsi="Arial" w:cs="Arial"/>
          <w:spacing w:val="-3"/>
        </w:rPr>
        <w:t xml:space="preserve">The purpose of this standard is to provide cost-justified minimum requirements for the energy-efficient design and construction of new residential buildings three stories or less above grade and for major renovations to existing residential buildings three stories or less above grade, considering first costs, economic impacts, and expected energy savings. </w:t>
      </w:r>
      <w:r w:rsidR="00103423" w:rsidRPr="00103423">
        <w:rPr>
          <w:rFonts w:ascii="Arial" w:eastAsia="Calibri" w:hAnsi="Arial" w:cs="Arial"/>
          <w:spacing w:val="-3"/>
        </w:rPr>
        <w:t>This standard is intended to include a performance and simple prescriptive path to achieve the objectives for a minimum standard which balances first cost and operational costs for an affordable housing solution</w:t>
      </w:r>
      <w:r w:rsidR="00103423">
        <w:rPr>
          <w:rFonts w:ascii="Arial" w:eastAsia="Calibri" w:hAnsi="Arial" w:cs="Arial"/>
          <w:spacing w:val="-3"/>
        </w:rPr>
        <w:t>.</w:t>
      </w:r>
    </w:p>
    <w:p w14:paraId="58376B16" w14:textId="77777777" w:rsidR="0014080F" w:rsidRPr="0014080F" w:rsidRDefault="0014080F" w:rsidP="0065171F">
      <w:pPr>
        <w:tabs>
          <w:tab w:val="left" w:pos="-720"/>
        </w:tabs>
        <w:suppressAutoHyphens/>
        <w:spacing w:after="0" w:line="250" w:lineRule="auto"/>
        <w:rPr>
          <w:rFonts w:ascii="Arial" w:eastAsia="Calibri" w:hAnsi="Arial" w:cs="Arial"/>
          <w:spacing w:val="-3"/>
        </w:rPr>
      </w:pPr>
    </w:p>
    <w:p w14:paraId="6113FE50" w14:textId="0BD03FFB" w:rsidR="0014080F" w:rsidRPr="0014080F" w:rsidRDefault="0065171F" w:rsidP="0065171F">
      <w:pPr>
        <w:tabs>
          <w:tab w:val="left" w:pos="-720"/>
        </w:tabs>
        <w:suppressAutoHyphens/>
        <w:spacing w:after="0" w:line="250" w:lineRule="auto"/>
        <w:ind w:left="360" w:hanging="360"/>
        <w:rPr>
          <w:rFonts w:ascii="Arial" w:eastAsia="Calibri" w:hAnsi="Arial" w:cs="Arial"/>
          <w:b/>
          <w:bCs/>
          <w:spacing w:val="-3"/>
        </w:rPr>
      </w:pPr>
      <w:r>
        <w:rPr>
          <w:rFonts w:ascii="Arial" w:eastAsia="Calibri" w:hAnsi="Arial" w:cs="Arial"/>
          <w:b/>
          <w:bCs/>
          <w:spacing w:val="-3"/>
        </w:rPr>
        <w:t>2.</w:t>
      </w:r>
      <w:r>
        <w:rPr>
          <w:rFonts w:ascii="Arial" w:eastAsia="Calibri" w:hAnsi="Arial" w:cs="Arial"/>
          <w:b/>
          <w:bCs/>
          <w:spacing w:val="-3"/>
        </w:rPr>
        <w:tab/>
      </w:r>
      <w:r w:rsidR="0014080F" w:rsidRPr="0014080F">
        <w:rPr>
          <w:rFonts w:ascii="Arial" w:eastAsia="Calibri" w:hAnsi="Arial" w:cs="Arial"/>
          <w:b/>
          <w:bCs/>
          <w:spacing w:val="-3"/>
        </w:rPr>
        <w:t>Scope:</w:t>
      </w:r>
    </w:p>
    <w:p w14:paraId="110FA1AA" w14:textId="52E92DE2" w:rsidR="002C1EFA" w:rsidRDefault="0065171F" w:rsidP="0065171F">
      <w:pPr>
        <w:suppressAutoHyphens/>
        <w:spacing w:before="120" w:after="0" w:line="250" w:lineRule="auto"/>
        <w:rPr>
          <w:rFonts w:ascii="Arial" w:eastAsia="Calibri" w:hAnsi="Arial" w:cs="Arial"/>
          <w:spacing w:val="-3"/>
        </w:rPr>
      </w:pPr>
      <w:r w:rsidRPr="0065171F">
        <w:rPr>
          <w:rFonts w:ascii="Arial" w:eastAsia="Calibri" w:hAnsi="Arial" w:cs="Arial"/>
          <w:b/>
          <w:bCs/>
          <w:spacing w:val="-3"/>
        </w:rPr>
        <w:t>2.1</w:t>
      </w:r>
      <w:r>
        <w:rPr>
          <w:rFonts w:ascii="Arial" w:eastAsia="Calibri" w:hAnsi="Arial" w:cs="Arial"/>
          <w:spacing w:val="-3"/>
        </w:rPr>
        <w:t xml:space="preserve"> </w:t>
      </w:r>
      <w:r>
        <w:rPr>
          <w:rFonts w:ascii="Arial" w:eastAsia="Calibri" w:hAnsi="Arial" w:cs="Arial"/>
          <w:spacing w:val="-3"/>
        </w:rPr>
        <w:tab/>
      </w:r>
      <w:r>
        <w:rPr>
          <w:rFonts w:ascii="Arial" w:eastAsia="Calibri" w:hAnsi="Arial" w:cs="Arial"/>
          <w:spacing w:val="-3"/>
        </w:rPr>
        <w:tab/>
      </w:r>
      <w:r w:rsidR="0014080F" w:rsidRPr="0014080F">
        <w:rPr>
          <w:rFonts w:ascii="Arial" w:eastAsia="Calibri" w:hAnsi="Arial" w:cs="Arial"/>
          <w:spacing w:val="-3"/>
        </w:rPr>
        <w:t xml:space="preserve">This standard </w:t>
      </w:r>
      <w:r>
        <w:rPr>
          <w:rFonts w:ascii="Arial" w:eastAsia="Calibri" w:hAnsi="Arial" w:cs="Arial"/>
          <w:spacing w:val="-3"/>
        </w:rPr>
        <w:t>applies to:</w:t>
      </w:r>
    </w:p>
    <w:p w14:paraId="3DDA1120" w14:textId="129563A4" w:rsidR="0065171F" w:rsidRDefault="0065171F" w:rsidP="0065171F">
      <w:pPr>
        <w:pStyle w:val="ListParagraph"/>
        <w:numPr>
          <w:ilvl w:val="0"/>
          <w:numId w:val="3"/>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new residential buildings three stories or less above grade;</w:t>
      </w:r>
    </w:p>
    <w:p w14:paraId="3EB08ED1" w14:textId="578ABB18" w:rsidR="0065171F" w:rsidRDefault="0065171F" w:rsidP="0065171F">
      <w:pPr>
        <w:pStyle w:val="ListParagraph"/>
        <w:numPr>
          <w:ilvl w:val="0"/>
          <w:numId w:val="3"/>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additions to residential buildings three stories or less above grade where new energy-related assemblies, systems, or equipment are installed; and</w:t>
      </w:r>
    </w:p>
    <w:p w14:paraId="0F5C6D1B" w14:textId="52105D81" w:rsidR="0065171F" w:rsidRDefault="0065171F" w:rsidP="0065171F">
      <w:pPr>
        <w:pStyle w:val="ListParagraph"/>
        <w:numPr>
          <w:ilvl w:val="0"/>
          <w:numId w:val="3"/>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 xml:space="preserve">major renovations </w:t>
      </w:r>
      <w:r w:rsidRPr="0065171F">
        <w:rPr>
          <w:rFonts w:ascii="Arial" w:eastAsia="Calibri" w:hAnsi="Arial" w:cs="Arial"/>
          <w:spacing w:val="-3"/>
        </w:rPr>
        <w:t>to existing residential buildings three stories or less above grade where the project includes substantial replacement, alteration, reconfiguration, or upgrade of energy-related assemblies, systems, or equipment.</w:t>
      </w:r>
    </w:p>
    <w:p w14:paraId="386B0D44" w14:textId="3FA23D8B" w:rsidR="0065171F" w:rsidRDefault="0065171F" w:rsidP="0065171F">
      <w:pPr>
        <w:suppressAutoHyphens/>
        <w:spacing w:before="120" w:after="0" w:line="250" w:lineRule="auto"/>
        <w:ind w:left="720" w:hanging="720"/>
        <w:rPr>
          <w:rFonts w:ascii="Arial" w:eastAsia="Calibri" w:hAnsi="Arial" w:cs="Arial"/>
          <w:spacing w:val="-3"/>
        </w:rPr>
      </w:pPr>
      <w:r w:rsidRPr="0065171F">
        <w:rPr>
          <w:rFonts w:ascii="Arial" w:eastAsia="Calibri" w:hAnsi="Arial" w:cs="Arial"/>
          <w:b/>
          <w:bCs/>
          <w:spacing w:val="-3"/>
        </w:rPr>
        <w:t>2.</w:t>
      </w:r>
      <w:r>
        <w:rPr>
          <w:rFonts w:ascii="Arial" w:eastAsia="Calibri" w:hAnsi="Arial" w:cs="Arial"/>
          <w:b/>
          <w:bCs/>
          <w:spacing w:val="-3"/>
        </w:rPr>
        <w:t>2</w:t>
      </w:r>
      <w:r>
        <w:rPr>
          <w:rFonts w:ascii="Arial" w:eastAsia="Calibri" w:hAnsi="Arial" w:cs="Arial"/>
          <w:spacing w:val="-3"/>
        </w:rPr>
        <w:t xml:space="preserve"> </w:t>
      </w:r>
      <w:r>
        <w:rPr>
          <w:rFonts w:ascii="Arial" w:eastAsia="Calibri" w:hAnsi="Arial" w:cs="Arial"/>
          <w:spacing w:val="-3"/>
        </w:rPr>
        <w:tab/>
      </w:r>
      <w:r w:rsidRPr="0014080F">
        <w:rPr>
          <w:rFonts w:ascii="Arial" w:eastAsia="Calibri" w:hAnsi="Arial" w:cs="Arial"/>
          <w:spacing w:val="-3"/>
        </w:rPr>
        <w:t xml:space="preserve">This standard </w:t>
      </w:r>
      <w:r>
        <w:rPr>
          <w:rFonts w:ascii="Arial" w:eastAsia="Calibri" w:hAnsi="Arial" w:cs="Arial"/>
          <w:spacing w:val="-3"/>
        </w:rPr>
        <w:t>provides cost-justified minimum requirements for the design, construction, installation, and replacement, as applicable, of:</w:t>
      </w:r>
    </w:p>
    <w:p w14:paraId="7DE8C8A2" w14:textId="3A6FB25A"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building thermal envelope components;</w:t>
      </w:r>
    </w:p>
    <w:p w14:paraId="3E6FE2AF" w14:textId="27530002"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air leakage control measures;</w:t>
      </w:r>
    </w:p>
    <w:p w14:paraId="06F81A09" w14:textId="6D39AB6C"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heating, ventilating, and air-conditioning systems;</w:t>
      </w:r>
    </w:p>
    <w:p w14:paraId="34C1EA3A" w14:textId="0FA81C3A"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service water-heating systems;</w:t>
      </w:r>
    </w:p>
    <w:p w14:paraId="68AE7072" w14:textId="51F6E3B4"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lighting systems;</w:t>
      </w:r>
    </w:p>
    <w:p w14:paraId="5DC1DCF3" w14:textId="0C79D2DD"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controls associated with covered systems; and</w:t>
      </w:r>
    </w:p>
    <w:p w14:paraId="336AA3A8" w14:textId="65C68B1D" w:rsidR="0065171F" w:rsidRDefault="0065171F" w:rsidP="0065171F">
      <w:pPr>
        <w:pStyle w:val="ListParagraph"/>
        <w:numPr>
          <w:ilvl w:val="0"/>
          <w:numId w:val="4"/>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other specifically identified energy-related residential building components and systems.</w:t>
      </w:r>
    </w:p>
    <w:p w14:paraId="47F166AC" w14:textId="532C23C9" w:rsidR="0065171F" w:rsidRDefault="0065171F" w:rsidP="0065171F">
      <w:pPr>
        <w:suppressAutoHyphens/>
        <w:spacing w:before="120" w:after="0" w:line="250" w:lineRule="auto"/>
        <w:ind w:left="720" w:hanging="720"/>
        <w:rPr>
          <w:rFonts w:ascii="Arial" w:eastAsia="Calibri" w:hAnsi="Arial" w:cs="Arial"/>
          <w:spacing w:val="-3"/>
        </w:rPr>
      </w:pPr>
      <w:r w:rsidRPr="0065171F">
        <w:rPr>
          <w:rFonts w:ascii="Arial" w:eastAsia="Calibri" w:hAnsi="Arial" w:cs="Arial"/>
          <w:b/>
          <w:bCs/>
          <w:spacing w:val="-3"/>
        </w:rPr>
        <w:t>2.</w:t>
      </w:r>
      <w:r>
        <w:rPr>
          <w:rFonts w:ascii="Arial" w:eastAsia="Calibri" w:hAnsi="Arial" w:cs="Arial"/>
          <w:b/>
          <w:bCs/>
          <w:spacing w:val="-3"/>
        </w:rPr>
        <w:t>3</w:t>
      </w:r>
      <w:r>
        <w:rPr>
          <w:rFonts w:ascii="Arial" w:eastAsia="Calibri" w:hAnsi="Arial" w:cs="Arial"/>
          <w:spacing w:val="-3"/>
        </w:rPr>
        <w:t xml:space="preserve"> </w:t>
      </w:r>
      <w:r>
        <w:rPr>
          <w:rFonts w:ascii="Arial" w:eastAsia="Calibri" w:hAnsi="Arial" w:cs="Arial"/>
          <w:spacing w:val="-3"/>
        </w:rPr>
        <w:tab/>
      </w:r>
      <w:r w:rsidRPr="0014080F">
        <w:rPr>
          <w:rFonts w:ascii="Arial" w:eastAsia="Calibri" w:hAnsi="Arial" w:cs="Arial"/>
          <w:spacing w:val="-3"/>
        </w:rPr>
        <w:t xml:space="preserve">This standard </w:t>
      </w:r>
      <w:r>
        <w:rPr>
          <w:rFonts w:ascii="Arial" w:eastAsia="Calibri" w:hAnsi="Arial" w:cs="Arial"/>
          <w:spacing w:val="-3"/>
        </w:rPr>
        <w:t>applies to detached single-family houses, detached two-family houses, townhouses, and other residential buildings three stories or less above grade, and to residential portions of mixed-use buildings within the height limitations of this standard.</w:t>
      </w:r>
    </w:p>
    <w:p w14:paraId="7467807C" w14:textId="6BD7A406" w:rsidR="0065171F" w:rsidRDefault="0065171F" w:rsidP="0065171F">
      <w:pPr>
        <w:suppressAutoHyphens/>
        <w:spacing w:before="120" w:after="0" w:line="250" w:lineRule="auto"/>
        <w:ind w:left="720" w:hanging="720"/>
        <w:rPr>
          <w:rFonts w:ascii="Arial" w:eastAsia="Calibri" w:hAnsi="Arial" w:cs="Arial"/>
          <w:spacing w:val="-3"/>
        </w:rPr>
      </w:pPr>
      <w:r w:rsidRPr="0065171F">
        <w:rPr>
          <w:rFonts w:ascii="Arial" w:eastAsia="Calibri" w:hAnsi="Arial" w:cs="Arial"/>
          <w:b/>
          <w:bCs/>
          <w:spacing w:val="-3"/>
        </w:rPr>
        <w:t>2.4</w:t>
      </w:r>
      <w:r>
        <w:rPr>
          <w:rFonts w:ascii="Arial" w:eastAsia="Calibri" w:hAnsi="Arial" w:cs="Arial"/>
          <w:spacing w:val="-3"/>
        </w:rPr>
        <w:tab/>
      </w:r>
      <w:r w:rsidRPr="0014080F">
        <w:rPr>
          <w:rFonts w:ascii="Arial" w:eastAsia="Calibri" w:hAnsi="Arial" w:cs="Arial"/>
          <w:spacing w:val="-3"/>
        </w:rPr>
        <w:t xml:space="preserve">This standard </w:t>
      </w:r>
      <w:r>
        <w:rPr>
          <w:rFonts w:ascii="Arial" w:eastAsia="Calibri" w:hAnsi="Arial" w:cs="Arial"/>
          <w:spacing w:val="-3"/>
        </w:rPr>
        <w:t>does not apply to:</w:t>
      </w:r>
    </w:p>
    <w:p w14:paraId="41B8FD92" w14:textId="52B6DAEE" w:rsidR="0065171F" w:rsidRDefault="0065171F" w:rsidP="0065171F">
      <w:pPr>
        <w:pStyle w:val="ListParagraph"/>
        <w:numPr>
          <w:ilvl w:val="0"/>
          <w:numId w:val="6"/>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transient lodging;</w:t>
      </w:r>
    </w:p>
    <w:p w14:paraId="70E4B2DC" w14:textId="16B88181" w:rsidR="0065171F" w:rsidRDefault="0065171F" w:rsidP="0065171F">
      <w:pPr>
        <w:pStyle w:val="ListParagraph"/>
        <w:numPr>
          <w:ilvl w:val="0"/>
          <w:numId w:val="6"/>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buildings more than three stories above grade;</w:t>
      </w:r>
    </w:p>
    <w:p w14:paraId="667992F8" w14:textId="058C355A" w:rsidR="0065171F" w:rsidRDefault="0065171F" w:rsidP="0065171F">
      <w:pPr>
        <w:pStyle w:val="ListParagraph"/>
        <w:numPr>
          <w:ilvl w:val="0"/>
          <w:numId w:val="6"/>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nonresidential occupancies except residential portions of mixed-use buildings within the scope of this standard; or</w:t>
      </w:r>
    </w:p>
    <w:p w14:paraId="3E3B6A2F" w14:textId="6DEF4A15" w:rsidR="0065171F" w:rsidRDefault="0065171F" w:rsidP="0065171F">
      <w:pPr>
        <w:pStyle w:val="ListParagraph"/>
        <w:numPr>
          <w:ilvl w:val="0"/>
          <w:numId w:val="6"/>
        </w:numPr>
        <w:suppressAutoHyphens/>
        <w:spacing w:after="0" w:line="250" w:lineRule="auto"/>
        <w:ind w:left="1080"/>
        <w:contextualSpacing w:val="0"/>
        <w:rPr>
          <w:rFonts w:ascii="Arial" w:eastAsia="Calibri" w:hAnsi="Arial" w:cs="Arial"/>
          <w:spacing w:val="-3"/>
        </w:rPr>
      </w:pPr>
      <w:r>
        <w:rPr>
          <w:rFonts w:ascii="Arial" w:eastAsia="Calibri" w:hAnsi="Arial" w:cs="Arial"/>
          <w:spacing w:val="-3"/>
        </w:rPr>
        <w:t>ordinary maintenance and repair activities that do not materially affect building energy use.</w:t>
      </w:r>
    </w:p>
    <w:p w14:paraId="01FD96E4" w14:textId="1B0E3294" w:rsidR="0065171F" w:rsidRPr="0065171F" w:rsidRDefault="0065171F" w:rsidP="0065171F">
      <w:pPr>
        <w:suppressAutoHyphens/>
        <w:spacing w:before="120" w:after="0" w:line="250" w:lineRule="auto"/>
        <w:ind w:left="720" w:hanging="720"/>
        <w:rPr>
          <w:rFonts w:ascii="Arial" w:eastAsia="Calibri" w:hAnsi="Arial" w:cs="Arial"/>
          <w:spacing w:val="-3"/>
        </w:rPr>
      </w:pPr>
      <w:r w:rsidRPr="0065171F">
        <w:rPr>
          <w:rFonts w:ascii="Arial" w:eastAsia="Calibri" w:hAnsi="Arial" w:cs="Arial"/>
          <w:b/>
          <w:bCs/>
          <w:spacing w:val="-3"/>
        </w:rPr>
        <w:t>2.</w:t>
      </w:r>
      <w:r>
        <w:rPr>
          <w:rFonts w:ascii="Arial" w:eastAsia="Calibri" w:hAnsi="Arial" w:cs="Arial"/>
          <w:b/>
          <w:bCs/>
          <w:spacing w:val="-3"/>
        </w:rPr>
        <w:t>5</w:t>
      </w:r>
      <w:r>
        <w:rPr>
          <w:rFonts w:ascii="Arial" w:eastAsia="Calibri" w:hAnsi="Arial" w:cs="Arial"/>
          <w:spacing w:val="-3"/>
        </w:rPr>
        <w:tab/>
      </w:r>
      <w:r w:rsidRPr="0014080F">
        <w:rPr>
          <w:rFonts w:ascii="Arial" w:eastAsia="Calibri" w:hAnsi="Arial" w:cs="Arial"/>
          <w:spacing w:val="-3"/>
        </w:rPr>
        <w:t xml:space="preserve">This standard </w:t>
      </w:r>
      <w:r>
        <w:rPr>
          <w:rFonts w:ascii="Arial" w:eastAsia="Calibri" w:hAnsi="Arial" w:cs="Arial"/>
          <w:spacing w:val="-3"/>
        </w:rPr>
        <w:t>shall not be used to abridge safety, health, environmental, or other applicable code requirements.</w:t>
      </w:r>
    </w:p>
    <w:sectPr w:rsidR="0065171F" w:rsidRPr="00651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108F"/>
    <w:multiLevelType w:val="hybridMultilevel"/>
    <w:tmpl w:val="215C22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CD26E6"/>
    <w:multiLevelType w:val="hybridMultilevel"/>
    <w:tmpl w:val="215C2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452B8"/>
    <w:multiLevelType w:val="hybridMultilevel"/>
    <w:tmpl w:val="A9E41832"/>
    <w:lvl w:ilvl="0" w:tplc="07DCBC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0311E2"/>
    <w:multiLevelType w:val="hybridMultilevel"/>
    <w:tmpl w:val="7EC0EE76"/>
    <w:lvl w:ilvl="0" w:tplc="1D6AC5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D71354"/>
    <w:multiLevelType w:val="hybridMultilevel"/>
    <w:tmpl w:val="F454C2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8D007C"/>
    <w:multiLevelType w:val="hybridMultilevel"/>
    <w:tmpl w:val="F454C2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1635579">
    <w:abstractNumId w:val="3"/>
  </w:num>
  <w:num w:numId="2" w16cid:durableId="1647317386">
    <w:abstractNumId w:val="2"/>
  </w:num>
  <w:num w:numId="3" w16cid:durableId="631136547">
    <w:abstractNumId w:val="1"/>
  </w:num>
  <w:num w:numId="4" w16cid:durableId="1344438211">
    <w:abstractNumId w:val="5"/>
  </w:num>
  <w:num w:numId="5" w16cid:durableId="1782409326">
    <w:abstractNumId w:val="0"/>
  </w:num>
  <w:num w:numId="6" w16cid:durableId="1020162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0F"/>
    <w:rsid w:val="00015D29"/>
    <w:rsid w:val="00103423"/>
    <w:rsid w:val="0014080F"/>
    <w:rsid w:val="00231EB0"/>
    <w:rsid w:val="002C1EFA"/>
    <w:rsid w:val="002C225F"/>
    <w:rsid w:val="00357648"/>
    <w:rsid w:val="00525132"/>
    <w:rsid w:val="0065171F"/>
    <w:rsid w:val="006A1ABB"/>
    <w:rsid w:val="007D3708"/>
    <w:rsid w:val="008B7A6F"/>
    <w:rsid w:val="009C492D"/>
    <w:rsid w:val="00BC27FA"/>
    <w:rsid w:val="00C738F3"/>
    <w:rsid w:val="00D8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80DC"/>
  <w15:chartTrackingRefBased/>
  <w15:docId w15:val="{F9A2D84F-1B4B-4FCC-A049-3314B66B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LeBlanc,Susan</dc:creator>
  <cp:keywords/>
  <dc:description/>
  <cp:lastModifiedBy>Shanley, Ryan</cp:lastModifiedBy>
  <cp:revision>4</cp:revision>
  <dcterms:created xsi:type="dcterms:W3CDTF">2022-02-15T13:17:00Z</dcterms:created>
  <dcterms:modified xsi:type="dcterms:W3CDTF">2026-07-13T14:42:00Z</dcterms:modified>
</cp:coreProperties>
</file>